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6" w:rsidRPr="00A670C2" w:rsidRDefault="00AC32D6" w:rsidP="00AC32D6">
      <w:pPr>
        <w:tabs>
          <w:tab w:val="left" w:pos="170"/>
          <w:tab w:val="left" w:pos="284"/>
        </w:tabs>
        <w:ind w:right="57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METODOLOŠKA OBJAŠNJENJA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4621C2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 ovom priopćenju objavljuje se serija podataka bruto domaćeg proizvoda (BDP-a) za razdoblje od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prvog tromjesečja 2000. do </w:t>
            </w:r>
            <w:r w:rsidR="004621C2">
              <w:rPr>
                <w:rFonts w:ascii="Arial" w:hAnsi="Arial" w:cs="Arial"/>
                <w:sz w:val="22"/>
                <w:szCs w:val="22"/>
                <w:lang w:val="hr-HR"/>
              </w:rPr>
              <w:t>prvog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 tromjesečja 201</w:t>
            </w:r>
            <w:r w:rsidR="004621C2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. za Republiku Hrvatsku prema osnovnim kategorijama izdataka i područjima NKD-a 2007. Rezultati su dostupni u tekućim cijenama, stalnim cijenama prethodne godine te u stalnim cijenama referentne godine (2010. = 100).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domaći proizvod (BDP) po kategorijama izdataka vrednovan je u tržišnim cijenama, a bruto dodana vrijednost (BDV) po djelatnostima vrednovana je u bazičnim cijenama.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Serija tromjesečnih podataka u stalnim cijenama iskazana je u cijenama prethodne godine, dijeljenjem tekućih vrijednosti indeksima cijena iskazanih na prosjeku prethodne godine. Iz serije podataka u cijenama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prethodne godine obračunavaju se bazični ulančani indeksi vezanjem za referentnu godinu (2010. = 100).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Realne stope rasta izvode se iz serije bazičnih ulančanih indeksa.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2A6E95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Serija podataka u stalnim cijenama prethodne godine aditivna je (BDP i BDV jednaki su zbroju pojedinih kategorija i potkategorija), dok je serija podataka u stalnim cijenama referentne godine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neaditivna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(BDP i BDV nisu jednaki zbroju pojedinih kategorija i potkategorija).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Neaditivnost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zbroja sastavnica BDP-a i BDV-a rezultat je primjene metode obračuna iz bazičnih ulančanih indeksa na detaljnijoj raščlambi kategorija i potkategorija.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4621C2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Usklađivan</w:t>
            </w:r>
            <w:r w:rsidR="002A6E95">
              <w:rPr>
                <w:rFonts w:ascii="Arial" w:hAnsi="Arial" w:cs="Arial"/>
                <w:sz w:val="22"/>
                <w:szCs w:val="22"/>
                <w:lang w:val="hr-HR"/>
              </w:rPr>
              <w:t xml:space="preserve">je tromjesečnih podataka BDP-a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prema revidiranim godišnjim podacima za razdoblje od 2000. do 201</w:t>
            </w:r>
            <w:r w:rsidR="004621C2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bookmarkStart w:id="0" w:name="_GoBack"/>
            <w:bookmarkEnd w:id="0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. obavljeno je upotrebom programa ECOTRIM. Program ECOTRIM razvio je Eurostat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, a predstavlja set matematičkih i statističkih tehnika koje se primjenjuju za vremensku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dezagregaciju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serija podataka.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 usklađivanju podataka diskrepancija između procijenjenih tromjesečnih podataka i konačnih godišnjih podataka je minimizirana. Rezultat jest postizanje konzistentnosti tromjesečnih i godišnjih serija podataka, odnosno suma tromjesečnih podataka jednaka je godišnjem podatku u svakoj godini.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Analitički okvir, koncept, definicije i klasifikacija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Primijenjena metodologija u skladu je s Europskim sustavom nacionalnih i regionalnih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računa (ESA 2010).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 mjeri ukupnu vrijednost proizvoda i pruženih usluga koje su proizvele rezidentne institucionalne jedinice u tom razdoblju.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Primijenjene su sljedeće klasifikacije: Klasifikacija osobne potrošnje prema namjeni (COICOP), Standardna međunarodna trgovinska klasifikacija (SMTK), Glavna klasifikacija proizvoda (CPC) za BDP u tekućim cijenama i u stalnim cijenama po kategorijama izdataka.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Klasifikacija pravnih subjekata po djelatnostima u skladu je s NKD-om 2007., koji je izravno usporediv s NACE-om,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Rev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. 2. Klasifikacija proizvoda, primijenjena za obračun bruto 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dodane vrijednosti u tekućim i stalnim cijenama po djelatnostima, usklađena je s Nacionalnom nomenklaturom industrijskih proizvoda i usluga, koja je usporediva s klasifikacijom PRODCOM.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Procjena BDP-a uključuje sve djelatnosti unutar granica proizvodnje definirane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ESA-om 2010 i obuhvaća cjelokupno područje Republike Hrvatske.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Procjene su napravljene prema obračunskom načelu.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Metodologija obračuna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Rashodna metoda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1. Tekuće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Obračun BDP-a u tržišnim cijenama prema rashodnoj metodi u tekućim cijenama temelji se na podacima iz redovitih istraživanja Državnog zavoda za statistiku, Ministarstva financija, Hrvatske narodne banke i Financijske agencije.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Za obračun izdataka za potrošnju kućanstava upotrijebljeni su podaci iz redovitih istraživanja Državnog zavoda za statistiku o prometu u trgovini na malo te o prometu u hotelima i restoranima. Izdaci za potrošnju na ostale usluge koje nisu obuhvaćene redovitim istraživanjima Državnog zavoda za statistiku izračunani su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ekstrapoliranjem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izdataka iz bazne godine upotrebom indeksa obujma iz proizvodnog pristupa i odgovarajućih indeksa troškova života sve do četvrtog tromjesečja 2003. Od prvog tromjesečja 2004. za tu se svrhu upotrebljavaju odgovarajući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podindeksi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Podaci o izdacima za finalnu potrošnju države te podaci o izdacima za finalnu potrošnju neprofitnih ustanova koje služe kućanstvima (NPUSK) izračunani su na osnovi tromjesečnih statističkih istraživanja o prihodima i rashodima proračuna i proračunskih korisnika i neprofitnih organizacija te na osnovi podataka Ministarstva financija za opću državu. Razlika između obračunskog načela i načela plaćanja procijenjena je te su konačni rezultati izraženi prema obračunskom načelu.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investicije u fiksni kapital obračunane su s pomoću metode robnih tokova upotrebom podataka o proizvodnji i uvozu kapitalne opreme te podataka o graditeljstvu.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Promjena zaliha obračunana je na osnovi podataka iz tromjesečnog istraživanja o rezultatima poslovanja poduzetnika do četvrtog tromjesečja 2012. U tromjesečjima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poslije 2012. promjena zaliha obračunana je na osnovi podataka Državnog zavoda za stati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stiku o zalihama. U toj kategoriji iskazana je i statistička diskrepancija (razlika u obračunu BDP-a prema proizvodnoj i rashodnoj metodi).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38032B" w:rsidRPr="0038032B" w:rsidRDefault="0038032B" w:rsidP="0038032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Primjenom Priručnika za platnu bilancu (BPM6) došlo je do sljedećih promjena na tekućem računu platne bilance:</w:t>
            </w:r>
          </w:p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38032B" w:rsidP="00665D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Podaci o uvozu i izvozu robe obuhvaćaju samo robu kod koje dolazi do promjene vlasništva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između rezidenta i </w:t>
            </w:r>
            <w:proofErr w:type="spellStart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nerezidenata</w:t>
            </w:r>
            <w:proofErr w:type="spellEnd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. Drugim riječima, roba koja se uvozi i izvozi radi dorade, obrade ili oplemenjivanja nije više predmet robne razmjene u platnoj bilanci. Račun usluga prema priručniku BPM6 obuhvaća proizvođačke usluge na robi koja je u tuđem vlasništvu (usluge dorade, obrade i oplemenjivanja). Zaključno, u platnu bilancu uključuje se samo neto vrijednost usluge koja podrazumijeva naknadu koja se veže za doradu, a ne i vrijednost dorađene robe.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8032B" w:rsidRDefault="0038032B" w:rsidP="0038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Preprodaja robe primjenom priručnika BPM6 prikazuje se na bruto načelu u sklopu računa roba, kao zasebna stavka. Uključuje vrijednost robe kojom se trguje, a koja ne prelazi carinsku granicu zemlje trgovca, već se kupuje, a zatim prodaje negdje u inozemstvu. Tako se kupnja robe prikazuje kao negativan izvoz zemlje u kojoj je trgovac rezident, a prodaja robe kao izvoz s pozitivnim predznakom. Preprodaja robe iskazuje se po transakcijskim cijenama, a ne po FOB vrijednosti, i to samo u z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emlji čiji je trgovac rezident.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8032B" w:rsidRDefault="0038032B" w:rsidP="0038032B">
            <w:pPr>
              <w:jc w:val="both"/>
              <w:rPr>
                <w:rFonts w:ascii="Arial" w:hAnsi="Arial" w:cs="Arial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Popravci robe više nisu dio uvoza i izvoza roba, već postaju dijelom računa usluga.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8032B" w:rsidRPr="00353CA5" w:rsidTr="00665DE3">
        <w:tc>
          <w:tcPr>
            <w:tcW w:w="9286" w:type="dxa"/>
            <w:shd w:val="clear" w:color="auto" w:fill="auto"/>
            <w:vAlign w:val="center"/>
          </w:tcPr>
          <w:p w:rsidR="0038032B" w:rsidRPr="00353CA5" w:rsidRDefault="0038032B" w:rsidP="0038032B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Kod financijskih usluga novost koju donosi priručnik BPM6 jest uključivanje posredno mjerene naknade za uslugu financijskog posredovanja (Usluge financijskog posredovanja indirektno mjerene - UFPIM), što znači da se jedan dio dohotka od ulaganja </w:t>
            </w:r>
            <w:proofErr w:type="spellStart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reklasificira</w:t>
            </w:r>
            <w:proofErr w:type="spellEnd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 iz Primarnog dohotka na Usluge.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2. Stalne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Pojedine su sastavnice BDP-a prema rashodnoj metodi u stalnim cijenama obračunane deflacioniranjem podataka u tekućim tržišnim cijenama upotrebom indeksa cijena u cijenama prethodne godine.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Izdaci za potrošnju kućanstava u stalnim cijenama izračunani su upotrebom odgovarajućih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 izdacima za državnu potrošnju i izdacima za potrošnju neprofitnih ustanova koje služe kućanstvima primijenjena je pretpostavka konstantne produktivnosti. Stoga su indeksi nadnica i plaća u stalnim cijenama izračunani dijeljenjem tekućih izdataka s indeksom broja zaposlenih. Izdaci za ostala dobra i usluge deflacionirani su odgovarajućim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podindeksima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 i indeksima cijena industrijskih proizvoda pri proizvođačima.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investicije u fiksni kapital deflacionirane su indeksima cijena domaćih i uvoznih kapitalnih dobara te implicitnim deflatorom za graditeljstvo s proizvodne strane.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Promjena zaliha gotovih proizvoda i proizvodnje u tijeku deflacionirana je indeksom cijena industrijskih proizvoda pri proizvođačima. Promjena zaliha sirovina i materijala deflacionirana je indeksima cijena industrijskih proizvoda pri proizvođačima i indeksima uvoznih cijena za sirovine i materijal. Za deflacioniranje promjena zaliha trgovačke robe upotrijebljeni su odgovarajući indeksi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Izvoz roba deflacioniran je indeksima proizvođačkih cijena industrije na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nedomaćem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tržištu i indeksima jedinične vrijednosti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Fisherova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tipa. Uvoz roba deflacioniran je indeksima proizvođačkih cijena industrije na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nedomaćem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tržištu zemalja partnera i indeksima jedinične 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vrijednosti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Fisherova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tipa.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Izvoz usluga deflacioniran je odgovarajućim indeksima cijena na domaćem tržištu. Uvoz usluga deflacioniran je odgovarajućim indeksima cijena najvažnijih trgovačkih partnera.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Proizvodna metoda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1. Tekuće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0F6E9A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BDV-a u tekućim cijenama temelji se na podacima iz redovitih istraživanja Državnog zavoda za statistiku, Hrvatske narodne banke, Hrvatske agencije za nadzor financijskih usluga, </w:t>
            </w:r>
            <w:r w:rsidRPr="000F6E9A">
              <w:rPr>
                <w:rFonts w:ascii="Arial" w:hAnsi="Arial" w:cs="Arial"/>
                <w:sz w:val="22"/>
                <w:szCs w:val="22"/>
                <w:lang w:val="hr-HR"/>
              </w:rPr>
              <w:t xml:space="preserve">Hrvatske </w:t>
            </w:r>
            <w:r w:rsidR="000F6E9A" w:rsidRPr="000F6E9A">
              <w:rPr>
                <w:rFonts w:ascii="Arial" w:hAnsi="Arial" w:cs="Arial"/>
                <w:sz w:val="22"/>
                <w:szCs w:val="22"/>
                <w:lang w:val="hr-HR"/>
              </w:rPr>
              <w:t>regulatorne agencije za mrežne djelatnosti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 Hrvatskog zavoda za mirovinsko osiguranje.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D861B7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Osim gore navedenih izvora podatka, za izračun BDV-a služe i podaci Porezne uprave o oporezivim i neoporezivim isporukama. Podaci su dostupni iz deklaracija poreza na dodanu vrijednost (PDV) kojima poduzetnici prijavljuju porezne obveze mjesečno i tromjesečno. Podaci se prikupljaju odvojeno za pravne i fizičke osobe. Obračun za svaku skupinu napravljen je na razini dviju znamenaka NKD-a 2007.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Podaci o porezima i subvencijama na proizvode temelje se na podacima Ministarstva financija.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 u tržišnim cijenama dobije se kad se BDV-u u bazičnim cijenama dodaju porezi na proizvode umanjeni za subvencije na proizvode.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2. Stalne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BDV-a iskazan je u stalnim cijenama prethodne godine te u stalnim cijenama referentne godine </w:t>
            </w: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(2010. = 100).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 obračunu u stalnim cijenama upotrijebljeni su različiti pokazatelji iz redovitih istraživanja Državnog zavoda za statistiku kao i podaci drugih institucija. Odgovarajući indeksi obujma upotrijebljeni su za obračun podataka u stalnim cijenama za djelatnosti poljoprivrede, šumarstva i ribarstva, industrijske proizvodnje, graditeljstva, trgovine, ugostiteljstva, transporta, komunikacija i financijskih djelatnosti. Obračun je izveden na razini dviju i triju znamenaka NKD-a 2007.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Za većinu ostalih uslužnih djelatnosti upotrijebljen je pokazatelj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inputa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(u pravilu broj zaposlenih). Obračun je izveden na razini četiriju znamenaka NKD-a 2007.</w:t>
            </w:r>
          </w:p>
        </w:tc>
      </w:tr>
    </w:tbl>
    <w:p w:rsidR="00AC32D6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p w:rsidR="00AC32D6" w:rsidRPr="007273D0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AC32D6" w:rsidRPr="00353CA5" w:rsidTr="00665DE3">
        <w:tc>
          <w:tcPr>
            <w:tcW w:w="9286" w:type="dxa"/>
            <w:gridSpan w:val="2"/>
            <w:tcBorders>
              <w:bottom w:val="nil"/>
            </w:tcBorders>
            <w:shd w:val="clear" w:color="auto" w:fill="auto"/>
          </w:tcPr>
          <w:p w:rsidR="00AC32D6" w:rsidRPr="00353CA5" w:rsidRDefault="00AC32D6" w:rsidP="00665DE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Kratice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domaći proizvod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BDV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bruto dodana vrijednost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BPM6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priručnik za statistiku platne bilance 6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CPC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Glavna klasifikacija proizvoda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COICOP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Klasifikacija osobne potrošnje prema namjeni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ESA 2010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Europski sustav nacionalnih i regionalnih računa 2010.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Eurostat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Statistički ured Europske unije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FOB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franko brod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NACE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Statistička klasifikacija ekonomskih djelatnosti u Europskoj zajednici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NKD 2007.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Nacionalna klasifikacija djelatnosti, verzija 2007.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NPUSK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eprofitne ustanove koje služe kućanstvima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PDV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porez na dodanu vrijednost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PRODCOM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proizvodnja u Zajednici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SMTK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Standardna međunarodna trgovinska klasifikacija</w:t>
            </w:r>
          </w:p>
        </w:tc>
      </w:tr>
      <w:tr w:rsidR="00D861B7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D861B7" w:rsidRPr="00353CA5" w:rsidRDefault="00D861B7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UFPIM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D861B7" w:rsidRPr="00D861B7" w:rsidRDefault="00D861B7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pacing w:val="-2"/>
                <w:lang w:val="hr-HR"/>
              </w:rPr>
              <w:t>usluge financijskog posredovanja indirektno mjerene</w:t>
            </w:r>
          </w:p>
        </w:tc>
      </w:tr>
    </w:tbl>
    <w:p w:rsidR="00AC32D6" w:rsidRPr="004B2ED8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sz w:val="22"/>
          <w:szCs w:val="22"/>
          <w:lang w:val="hr-HR"/>
        </w:rPr>
      </w:pPr>
    </w:p>
    <w:p w:rsidR="00D675D4" w:rsidRDefault="00D675D4"/>
    <w:sectPr w:rsidR="00D675D4" w:rsidSect="00A47BA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C7" w:rsidRDefault="008716C7">
      <w:r>
        <w:separator/>
      </w:r>
    </w:p>
  </w:endnote>
  <w:endnote w:type="continuationSeparator" w:id="0">
    <w:p w:rsidR="008716C7" w:rsidRDefault="0087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1" w:rsidRDefault="00AC32D6" w:rsidP="00A4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591" w:rsidRDefault="008716C7" w:rsidP="00A47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1" w:rsidRDefault="00AC32D6" w:rsidP="00A4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1C2">
      <w:rPr>
        <w:rStyle w:val="PageNumber"/>
        <w:noProof/>
      </w:rPr>
      <w:t>5</w:t>
    </w:r>
    <w:r>
      <w:rPr>
        <w:rStyle w:val="PageNumber"/>
      </w:rPr>
      <w:fldChar w:fldCharType="end"/>
    </w:r>
  </w:p>
  <w:p w:rsidR="00116591" w:rsidRDefault="008716C7" w:rsidP="00A47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C7" w:rsidRDefault="008716C7">
      <w:r>
        <w:separator/>
      </w:r>
    </w:p>
  </w:footnote>
  <w:footnote w:type="continuationSeparator" w:id="0">
    <w:p w:rsidR="008716C7" w:rsidRDefault="0087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D6"/>
    <w:rsid w:val="000F6E9A"/>
    <w:rsid w:val="001940C8"/>
    <w:rsid w:val="002A6E95"/>
    <w:rsid w:val="002B34C7"/>
    <w:rsid w:val="0038032B"/>
    <w:rsid w:val="004621C2"/>
    <w:rsid w:val="006211C2"/>
    <w:rsid w:val="008716C7"/>
    <w:rsid w:val="009B1160"/>
    <w:rsid w:val="00AC32D6"/>
    <w:rsid w:val="00C41171"/>
    <w:rsid w:val="00D675D4"/>
    <w:rsid w:val="00D861B7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32D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rsid w:val="00AC32D6"/>
  </w:style>
  <w:style w:type="paragraph" w:customStyle="1" w:styleId="Text">
    <w:name w:val="Text"/>
    <w:basedOn w:val="Heading2"/>
    <w:rsid w:val="00AC32D6"/>
    <w:pPr>
      <w:keepLines w:val="0"/>
      <w:spacing w:before="0" w:line="210" w:lineRule="exact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1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dzs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baricevickolarb</dc:creator>
  <cp:keywords/>
  <dc:description/>
  <cp:lastModifiedBy>sabljakn</cp:lastModifiedBy>
  <cp:revision>7</cp:revision>
  <dcterms:created xsi:type="dcterms:W3CDTF">2014-09-02T11:42:00Z</dcterms:created>
  <dcterms:modified xsi:type="dcterms:W3CDTF">2015-06-02T08:29:00Z</dcterms:modified>
</cp:coreProperties>
</file>